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F954" w14:textId="382B6852" w:rsidR="00A30A54" w:rsidRDefault="00A30A54"/>
    <w:p w14:paraId="744DDBBE" w14:textId="69F3EC93" w:rsidR="00B12567" w:rsidRDefault="00B12567"/>
    <w:p w14:paraId="4DC7BA9D" w14:textId="024EF281" w:rsidR="00B12567" w:rsidRDefault="00B12567"/>
    <w:p w14:paraId="29B9EDB2" w14:textId="5CE08D4C" w:rsidR="00B12567" w:rsidRDefault="00B12567"/>
    <w:p w14:paraId="2D997FF7" w14:textId="74CEFB06" w:rsidR="00B12567" w:rsidRDefault="00B12567"/>
    <w:p w14:paraId="4380FC48" w14:textId="77777777" w:rsidR="00B12567" w:rsidRDefault="00B12567"/>
    <w:p w14:paraId="4D00FE75" w14:textId="77777777" w:rsidR="00A30A54" w:rsidRDefault="00A30A54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478"/>
        <w:gridCol w:w="661"/>
        <w:gridCol w:w="915"/>
        <w:gridCol w:w="94"/>
        <w:gridCol w:w="670"/>
        <w:gridCol w:w="741"/>
        <w:gridCol w:w="3188"/>
      </w:tblGrid>
      <w:tr w:rsidR="00FD3D81" w:rsidRPr="008C2D74" w14:paraId="636E738D" w14:textId="77777777" w:rsidTr="00B12567">
        <w:tc>
          <w:tcPr>
            <w:tcW w:w="3478" w:type="dxa"/>
          </w:tcPr>
          <w:p w14:paraId="40990C63" w14:textId="42B736E7" w:rsidR="00FD3D81" w:rsidRPr="008C2D74" w:rsidRDefault="00067C5F" w:rsidP="00EA2320">
            <w:pPr>
              <w:spacing w:line="264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NNC, Brdo pri Kranju</w:t>
            </w:r>
            <w:r w:rsidR="00FD3D81" w:rsidRPr="008C2D74">
              <w:rPr>
                <w:rFonts w:ascii="Calibri" w:hAnsi="Calibri" w:cs="Tahoma"/>
              </w:rPr>
              <w:t xml:space="preserve">, </w:t>
            </w:r>
            <w:r w:rsidR="00777E17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5</w:t>
            </w:r>
            <w:r w:rsidR="00FD3D8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09</w:t>
            </w:r>
            <w:r w:rsidR="00FD3D81" w:rsidRPr="008C2D74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661" w:type="dxa"/>
          </w:tcPr>
          <w:p w14:paraId="4A7D08BB" w14:textId="77777777" w:rsidR="00FD3D81" w:rsidRPr="008C2D74" w:rsidRDefault="00FD3D81" w:rsidP="00EA2320">
            <w:pPr>
              <w:spacing w:line="264" w:lineRule="auto"/>
              <w:jc w:val="right"/>
              <w:rPr>
                <w:rFonts w:ascii="Calibri" w:hAnsi="Calibri" w:cs="Tahoma"/>
              </w:rPr>
            </w:pPr>
            <w:r w:rsidRPr="008C2D74">
              <w:rPr>
                <w:rFonts w:ascii="Calibri" w:hAnsi="Calibri" w:cs="Tahoma"/>
              </w:rPr>
              <w:t>Št.:</w:t>
            </w:r>
          </w:p>
        </w:tc>
        <w:tc>
          <w:tcPr>
            <w:tcW w:w="1009" w:type="dxa"/>
            <w:gridSpan w:val="2"/>
          </w:tcPr>
          <w:p w14:paraId="39C4D4D0" w14:textId="1959AFDA" w:rsidR="00FD3D81" w:rsidRPr="008C2D74" w:rsidRDefault="00711D08" w:rsidP="00EA2320">
            <w:pPr>
              <w:spacing w:line="264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/</w:t>
            </w:r>
            <w:r w:rsidR="00067C5F">
              <w:rPr>
                <w:rFonts w:ascii="Calibri" w:hAnsi="Calibri" w:cs="Tahoma"/>
              </w:rPr>
              <w:t>21</w:t>
            </w:r>
          </w:p>
        </w:tc>
        <w:tc>
          <w:tcPr>
            <w:tcW w:w="670" w:type="dxa"/>
          </w:tcPr>
          <w:p w14:paraId="4F24F219" w14:textId="77777777" w:rsidR="00FD3D81" w:rsidRPr="008C2D74" w:rsidRDefault="00FD3D81" w:rsidP="00EA2320">
            <w:pPr>
              <w:spacing w:line="264" w:lineRule="auto"/>
              <w:jc w:val="right"/>
              <w:rPr>
                <w:rFonts w:ascii="Calibri" w:hAnsi="Calibri" w:cs="Tahoma"/>
              </w:rPr>
            </w:pPr>
            <w:proofErr w:type="spellStart"/>
            <w:r w:rsidRPr="008C2D74">
              <w:rPr>
                <w:rFonts w:ascii="Calibri" w:hAnsi="Calibri" w:cs="Tahoma"/>
              </w:rPr>
              <w:t>Ozn</w:t>
            </w:r>
            <w:proofErr w:type="spellEnd"/>
            <w:r w:rsidRPr="008C2D74">
              <w:rPr>
                <w:rFonts w:ascii="Calibri" w:hAnsi="Calibri" w:cs="Tahoma"/>
              </w:rPr>
              <w:t>.:</w:t>
            </w:r>
          </w:p>
        </w:tc>
        <w:tc>
          <w:tcPr>
            <w:tcW w:w="741" w:type="dxa"/>
          </w:tcPr>
          <w:p w14:paraId="57688E4F" w14:textId="77777777" w:rsidR="00FD3D81" w:rsidRPr="008C2D74" w:rsidRDefault="00FD3D81" w:rsidP="00EA2320">
            <w:pPr>
              <w:spacing w:line="264" w:lineRule="auto"/>
              <w:rPr>
                <w:rFonts w:ascii="Calibri" w:hAnsi="Calibri" w:cs="Tahoma"/>
              </w:rPr>
            </w:pPr>
            <w:r w:rsidRPr="008C2D74">
              <w:rPr>
                <w:rFonts w:ascii="Calibri" w:hAnsi="Calibri"/>
              </w:rPr>
              <w:t>TEH</w:t>
            </w:r>
          </w:p>
        </w:tc>
        <w:tc>
          <w:tcPr>
            <w:tcW w:w="3188" w:type="dxa"/>
          </w:tcPr>
          <w:p w14:paraId="612855BF" w14:textId="1538AA3F" w:rsidR="00FD3D81" w:rsidRPr="008C2D74" w:rsidRDefault="00067C5F" w:rsidP="00EA2320">
            <w:pPr>
              <w:spacing w:line="264" w:lineRule="auto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IK</w:t>
            </w:r>
            <w:r w:rsidR="00FD3D81">
              <w:rPr>
                <w:rFonts w:ascii="Calibri" w:hAnsi="Calibri"/>
              </w:rPr>
              <w:t>/MJ</w:t>
            </w:r>
          </w:p>
        </w:tc>
      </w:tr>
      <w:tr w:rsidR="00FD3D81" w:rsidRPr="008C2D74" w14:paraId="4855A8EB" w14:textId="77777777" w:rsidTr="00B12567">
        <w:tc>
          <w:tcPr>
            <w:tcW w:w="3478" w:type="dxa"/>
          </w:tcPr>
          <w:p w14:paraId="1F53C908" w14:textId="77777777" w:rsidR="00FD3D81" w:rsidRPr="008C2D74" w:rsidRDefault="00FD3D81" w:rsidP="00EA2320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1576" w:type="dxa"/>
            <w:gridSpan w:val="2"/>
          </w:tcPr>
          <w:p w14:paraId="6C540574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4693" w:type="dxa"/>
            <w:gridSpan w:val="4"/>
          </w:tcPr>
          <w:p w14:paraId="6E623344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FD3D81" w:rsidRPr="008C2D74" w14:paraId="31F1D983" w14:textId="77777777" w:rsidTr="00B12567">
        <w:tc>
          <w:tcPr>
            <w:tcW w:w="3478" w:type="dxa"/>
          </w:tcPr>
          <w:p w14:paraId="193E2AE5" w14:textId="77777777" w:rsidR="00FD3D81" w:rsidRPr="008C2D74" w:rsidRDefault="00FD3D81" w:rsidP="00EA2320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1576" w:type="dxa"/>
            <w:gridSpan w:val="2"/>
          </w:tcPr>
          <w:p w14:paraId="01005FC6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4693" w:type="dxa"/>
            <w:gridSpan w:val="4"/>
          </w:tcPr>
          <w:p w14:paraId="0666D479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FD3D81" w:rsidRPr="008C2D74" w14:paraId="4B0F28E5" w14:textId="77777777" w:rsidTr="00B12567">
        <w:tc>
          <w:tcPr>
            <w:tcW w:w="9747" w:type="dxa"/>
            <w:gridSpan w:val="7"/>
          </w:tcPr>
          <w:p w14:paraId="2632345E" w14:textId="32F11F73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R A Z P I S   2 0 </w:t>
            </w:r>
            <w:r w:rsidR="00067C5F">
              <w:rPr>
                <w:rFonts w:ascii="Calibri" w:hAnsi="Calibri" w:cs="Tahoma"/>
                <w:b/>
                <w:sz w:val="28"/>
                <w:szCs w:val="28"/>
              </w:rPr>
              <w:t>2</w:t>
            </w:r>
            <w:r w:rsidR="00B12567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067C5F">
              <w:rPr>
                <w:rFonts w:ascii="Calibri" w:hAnsi="Calibri" w:cs="Tahoma"/>
                <w:b/>
                <w:sz w:val="28"/>
                <w:szCs w:val="28"/>
              </w:rPr>
              <w:t>1</w:t>
            </w:r>
          </w:p>
          <w:p w14:paraId="6F0FB00F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  <w:p w14:paraId="47E21098" w14:textId="77777777" w:rsidR="00FD3D81" w:rsidRPr="008C2D74" w:rsidRDefault="00FD3D81" w:rsidP="00EA232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C2D74">
              <w:rPr>
                <w:rFonts w:ascii="Calibri" w:hAnsi="Calibri" w:cs="Tahoma"/>
                <w:sz w:val="22"/>
                <w:szCs w:val="22"/>
              </w:rPr>
              <w:t xml:space="preserve">Trenerska šola NZS prof. </w:t>
            </w:r>
            <w:smartTag w:uri="urn:schemas-microsoft-com:office:smarttags" w:element="PersonName">
              <w:smartTagPr>
                <w:attr w:name="ProductID" w:val="Branko Elsner"/>
              </w:smartTagPr>
              <w:r w:rsidRPr="008C2D74">
                <w:rPr>
                  <w:rFonts w:ascii="Calibri" w:hAnsi="Calibri" w:cs="Tahoma"/>
                  <w:sz w:val="22"/>
                  <w:szCs w:val="22"/>
                </w:rPr>
                <w:t>Branko Elsner</w:t>
              </w:r>
            </w:smartTag>
            <w:r w:rsidRPr="008C2D74">
              <w:rPr>
                <w:rFonts w:ascii="Calibri" w:hAnsi="Calibri" w:cs="Tahoma"/>
                <w:sz w:val="22"/>
                <w:szCs w:val="22"/>
              </w:rPr>
              <w:t xml:space="preserve"> razpisuje šolanje strokovnih kadrov za naziv</w:t>
            </w:r>
          </w:p>
          <w:p w14:paraId="46A3710F" w14:textId="163D3D76" w:rsidR="00FD3D81" w:rsidRPr="00067C5F" w:rsidRDefault="00FD3D81" w:rsidP="00EA2320">
            <w:pPr>
              <w:spacing w:line="264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  <w:p w14:paraId="07351E20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C2D74">
              <w:rPr>
                <w:rFonts w:ascii="Calibri" w:hAnsi="Calibri" w:cs="Tahoma"/>
                <w:b/>
                <w:sz w:val="28"/>
                <w:szCs w:val="28"/>
              </w:rPr>
              <w:t>Trener UEFA A</w:t>
            </w:r>
          </w:p>
          <w:p w14:paraId="1BD164A7" w14:textId="77777777" w:rsidR="00FD3D81" w:rsidRPr="008C2D74" w:rsidRDefault="00FD3D81" w:rsidP="00EA2320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8C2D74">
              <w:rPr>
                <w:rFonts w:ascii="Calibri" w:hAnsi="Calibri" w:cs="Tahoma"/>
                <w:b/>
                <w:sz w:val="28"/>
                <w:szCs w:val="28"/>
              </w:rPr>
              <w:t>Strokovni delavec v športu 2</w:t>
            </w:r>
          </w:p>
        </w:tc>
      </w:tr>
      <w:tr w:rsidR="00FD3D81" w:rsidRPr="008C2D74" w14:paraId="1CE1768D" w14:textId="77777777" w:rsidTr="00B12567">
        <w:tc>
          <w:tcPr>
            <w:tcW w:w="9747" w:type="dxa"/>
            <w:gridSpan w:val="7"/>
          </w:tcPr>
          <w:p w14:paraId="1FA0A4F2" w14:textId="77777777" w:rsidR="00FD3D81" w:rsidRPr="000F1E3F" w:rsidRDefault="00FD3D81" w:rsidP="00562FFF">
            <w:pPr>
              <w:spacing w:line="264" w:lineRule="auto"/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70E4A3E4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Vodja programov usposabljanja</w:t>
            </w:r>
          </w:p>
          <w:p w14:paraId="0E7042B7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>Vodja šolanj in usposabljanj Nogometne zveze Slovenije je Matjaž Jaklič.</w:t>
            </w:r>
          </w:p>
          <w:p w14:paraId="03BC14B7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</w:p>
          <w:p w14:paraId="617366BA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Vpisni pogoji</w:t>
            </w:r>
          </w:p>
          <w:p w14:paraId="2338DAE5" w14:textId="21070857" w:rsidR="00FD3D81" w:rsidRPr="00407FA0" w:rsidRDefault="00FD3D81" w:rsidP="00D80855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Kandidati morajo imeti strokovni naziv </w:t>
            </w:r>
            <w:r w:rsidR="00067C5F" w:rsidRPr="00407FA0">
              <w:rPr>
                <w:rFonts w:ascii="Calibri" w:hAnsi="Calibri" w:cs="Tahoma"/>
                <w:sz w:val="22"/>
                <w:szCs w:val="22"/>
              </w:rPr>
              <w:t>Strokovni delavec 2 – športno treniranje – nogomet /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Trener UEFA B z oceno “uspešno opravil”, enoletno prakso v nazivu TRENER UEFA B, končano najmanj IV. stopnjo  izobrazbe, 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 xml:space="preserve">morajo biti zdravniško pregledani za napore pri praktičnemu delu usposabljanja, </w:t>
            </w:r>
            <w:r w:rsidRPr="00407FA0">
              <w:rPr>
                <w:rFonts w:ascii="Calibri" w:hAnsi="Calibri" w:cs="Tahoma"/>
                <w:sz w:val="22"/>
                <w:szCs w:val="22"/>
              </w:rPr>
              <w:t>morajo bi</w:t>
            </w:r>
            <w:r w:rsidR="0092306A" w:rsidRPr="00407FA0">
              <w:rPr>
                <w:rFonts w:ascii="Calibri" w:hAnsi="Calibri" w:cs="Tahoma"/>
                <w:sz w:val="22"/>
                <w:szCs w:val="22"/>
              </w:rPr>
              <w:t>ti člani DNT</w:t>
            </w:r>
            <w:r w:rsidR="00711D08" w:rsidRPr="00407FA0">
              <w:rPr>
                <w:rFonts w:ascii="Calibri" w:hAnsi="Calibri" w:cs="Tahoma"/>
                <w:sz w:val="22"/>
                <w:szCs w:val="22"/>
              </w:rPr>
              <w:t xml:space="preserve"> z aktivno licenco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 ter</w:t>
            </w:r>
            <w:r w:rsidR="00C7253D" w:rsidRPr="00407FA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07FA0">
              <w:rPr>
                <w:rFonts w:ascii="Calibri" w:hAnsi="Calibri" w:cs="Tahoma"/>
                <w:sz w:val="22"/>
                <w:szCs w:val="22"/>
              </w:rPr>
              <w:t>morajo voditi ekipo</w:t>
            </w:r>
            <w:r w:rsidR="00067C5F" w:rsidRPr="00407FA0">
              <w:rPr>
                <w:rFonts w:ascii="Calibri" w:hAnsi="Calibri" w:cs="Tahoma"/>
                <w:sz w:val="22"/>
                <w:szCs w:val="22"/>
              </w:rPr>
              <w:t>, vpisani morajo biti v Razvid izobraženih ali usposobljenih športnih delavcev pri MIZŠ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>.</w:t>
            </w:r>
            <w:r w:rsidRPr="00407FA0">
              <w:rPr>
                <w:rFonts w:ascii="Calibri" w:hAnsi="Calibri" w:cs="Tahoma"/>
                <w:sz w:val="22"/>
                <w:szCs w:val="22"/>
                <w:u w:val="single"/>
              </w:rPr>
              <w:t xml:space="preserve"> </w:t>
            </w:r>
          </w:p>
          <w:p w14:paraId="57323731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C7C2EE3" w14:textId="0E03DB8C" w:rsidR="00FD3D81" w:rsidRPr="00407FA0" w:rsidRDefault="00067C5F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Usposabljanje</w:t>
            </w:r>
          </w:p>
          <w:p w14:paraId="031F9D60" w14:textId="1E7D3D37" w:rsidR="00FD3D81" w:rsidRPr="00407FA0" w:rsidRDefault="00067C5F" w:rsidP="00EA2320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U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>sposabljanje traja 260 ur, od tega obsega teoretični del 111 ur,</w:t>
            </w:r>
            <w:r w:rsidR="004B3D0B" w:rsidRPr="00407FA0">
              <w:rPr>
                <w:rFonts w:ascii="Calibri" w:hAnsi="Calibri" w:cs="Calibri"/>
                <w:sz w:val="22"/>
                <w:szCs w:val="22"/>
              </w:rPr>
              <w:t xml:space="preserve"> praktični neposredni del obsega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 xml:space="preserve"> 94 ur,</w:t>
            </w:r>
            <w:r w:rsidR="004B3D0B" w:rsidRPr="00407FA0">
              <w:rPr>
                <w:rFonts w:ascii="Calibri" w:hAnsi="Calibri" w:cs="Calibri"/>
                <w:sz w:val="22"/>
                <w:szCs w:val="22"/>
              </w:rPr>
              <w:t xml:space="preserve"> praktični samostojni del obsega 47 ur in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 xml:space="preserve"> izpiti obsegajo 8 ur. Us</w:t>
            </w:r>
            <w:r w:rsidR="00892752" w:rsidRPr="00407FA0">
              <w:rPr>
                <w:rFonts w:ascii="Calibri" w:hAnsi="Calibri" w:cs="Calibri"/>
                <w:sz w:val="22"/>
                <w:szCs w:val="22"/>
              </w:rPr>
              <w:t>posabljanje bo potekalo v  3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 xml:space="preserve">. modulih. Po uspešno zaključenem </w:t>
            </w:r>
            <w:r w:rsidRPr="00407FA0">
              <w:rPr>
                <w:rFonts w:ascii="Calibri" w:hAnsi="Calibri" w:cs="Calibri"/>
                <w:sz w:val="22"/>
                <w:szCs w:val="22"/>
              </w:rPr>
              <w:t>usposabljanju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 xml:space="preserve"> dobijo kandidati strokovni naziv TRENER UEFA  A. Kandidati, ki zaključijo </w:t>
            </w:r>
            <w:r w:rsidRPr="00407FA0">
              <w:rPr>
                <w:rFonts w:ascii="Calibri" w:hAnsi="Calibri" w:cs="Calibri"/>
                <w:sz w:val="22"/>
                <w:szCs w:val="22"/>
              </w:rPr>
              <w:t>usposabljanje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 xml:space="preserve"> s povprečno oceno vseh izpitov najmanj 8 ali povprečno oceno 9 iz predmetov: Teorija nogometa, Teorija treniranja nogometašev, Taktika, Kondicija in Pedagoška praksa te</w:t>
            </w:r>
            <w:r w:rsidR="004B3D0B" w:rsidRPr="00407FA0">
              <w:rPr>
                <w:rFonts w:ascii="Calibri" w:hAnsi="Calibri" w:cs="Calibri"/>
                <w:sz w:val="22"/>
                <w:szCs w:val="22"/>
              </w:rPr>
              <w:t>r  1 letnim pedagoškim delom v nazivu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 xml:space="preserve"> TRENER UEFA  A, pridobijo pravico do nadaljnjega </w:t>
            </w:r>
            <w:r w:rsidRPr="00407FA0">
              <w:rPr>
                <w:rFonts w:ascii="Calibri" w:hAnsi="Calibri" w:cs="Calibri"/>
                <w:sz w:val="22"/>
                <w:szCs w:val="22"/>
              </w:rPr>
              <w:t>usposabljanja</w:t>
            </w:r>
            <w:r w:rsidR="00FD3D81" w:rsidRPr="00407FA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EE5165B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6597A0E3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Kraj in čas šolanja:</w:t>
            </w:r>
          </w:p>
          <w:p w14:paraId="050410BD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7FA0">
              <w:rPr>
                <w:rFonts w:ascii="Calibri" w:hAnsi="Calibri"/>
                <w:sz w:val="22"/>
                <w:szCs w:val="22"/>
              </w:rPr>
              <w:t>Nacionalni nogometni center Brdo, Predoslje:</w:t>
            </w:r>
          </w:p>
          <w:p w14:paraId="0802E833" w14:textId="02BA36A3" w:rsidR="004B3D0B" w:rsidRPr="00407FA0" w:rsidRDefault="004B3D0B" w:rsidP="004B3D0B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Modul </w:t>
            </w:r>
            <w:r w:rsidR="00067C5F" w:rsidRPr="00407FA0">
              <w:rPr>
                <w:rFonts w:ascii="Calibri" w:hAnsi="Calibri" w:cs="Tahoma"/>
                <w:b/>
                <w:sz w:val="22"/>
                <w:szCs w:val="22"/>
              </w:rPr>
              <w:t>januar 2022,</w:t>
            </w:r>
          </w:p>
          <w:p w14:paraId="72928F37" w14:textId="5A3E09F6" w:rsidR="004B3D0B" w:rsidRPr="00407FA0" w:rsidRDefault="004B3D0B" w:rsidP="004B3D0B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</w:rPr>
              <w:t>Modul</w:t>
            </w:r>
            <w:r w:rsidR="00FD3D81"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CC4C8E"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maj - </w:t>
            </w:r>
            <w:r w:rsidR="00067C5F"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junij 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>20</w:t>
            </w:r>
            <w:r w:rsidR="00067C5F" w:rsidRPr="00407FA0">
              <w:rPr>
                <w:rFonts w:ascii="Calibri" w:hAnsi="Calibri" w:cs="Tahoma"/>
                <w:b/>
                <w:sz w:val="22"/>
                <w:szCs w:val="22"/>
              </w:rPr>
              <w:t>22</w:t>
            </w:r>
            <w:r w:rsidR="009563E8" w:rsidRPr="00407FA0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14:paraId="7B8D3500" w14:textId="3C54C72B" w:rsidR="00FD3D81" w:rsidRPr="00407FA0" w:rsidRDefault="009563E8" w:rsidP="004B3D0B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</w:rPr>
              <w:t>S</w:t>
            </w:r>
            <w:r w:rsidR="004B3D0B" w:rsidRPr="00407FA0">
              <w:rPr>
                <w:rFonts w:ascii="Calibri" w:hAnsi="Calibri" w:cs="Tahoma"/>
                <w:b/>
                <w:sz w:val="22"/>
                <w:szCs w:val="22"/>
              </w:rPr>
              <w:t>kupna določitev tretjega modula</w:t>
            </w:r>
            <w:r w:rsidR="00067C5F"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 202</w:t>
            </w:r>
            <w:r w:rsidR="00CC4C8E" w:rsidRPr="00407FA0">
              <w:rPr>
                <w:rFonts w:ascii="Calibri" w:hAnsi="Calibri" w:cs="Tahoma"/>
                <w:b/>
                <w:sz w:val="22"/>
                <w:szCs w:val="22"/>
              </w:rPr>
              <w:t>2</w:t>
            </w:r>
            <w:r w:rsidR="004B3D0B" w:rsidRPr="00407FA0">
              <w:rPr>
                <w:rFonts w:ascii="Calibri" w:hAnsi="Calibri" w:cs="Tahoma"/>
                <w:b/>
                <w:sz w:val="22"/>
                <w:szCs w:val="22"/>
              </w:rPr>
              <w:t>.</w:t>
            </w:r>
          </w:p>
          <w:p w14:paraId="7337434C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2A1DB605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Število udeležencev:</w:t>
            </w:r>
          </w:p>
          <w:p w14:paraId="50DC9796" w14:textId="6CE5085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Na </w:t>
            </w:r>
            <w:r w:rsidR="00067C5F" w:rsidRPr="00407FA0">
              <w:rPr>
                <w:rFonts w:ascii="Calibri" w:hAnsi="Calibri" w:cs="Tahoma"/>
                <w:sz w:val="22"/>
                <w:szCs w:val="22"/>
              </w:rPr>
              <w:t>usposabljanje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 bo sprejetih največ </w:t>
            </w:r>
            <w:r w:rsidR="00067C5F" w:rsidRPr="00407FA0">
              <w:rPr>
                <w:rFonts w:ascii="Calibri" w:hAnsi="Calibri" w:cs="Tahoma"/>
                <w:sz w:val="22"/>
                <w:szCs w:val="22"/>
              </w:rPr>
              <w:t>2</w:t>
            </w:r>
            <w:r w:rsidRPr="00407FA0">
              <w:rPr>
                <w:rFonts w:ascii="Calibri" w:hAnsi="Calibri" w:cs="Tahoma"/>
                <w:sz w:val="22"/>
                <w:szCs w:val="22"/>
              </w:rPr>
              <w:t>5 kandidatov, prijavljenih po vrstnem redu prijav. Prednost pri vpisu bodo imeli bivši vrhunski igralci, komisija pa se bo odločala tudi na podlagi regijskih potreb.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 xml:space="preserve"> Ob večjemu številu kandidatov bo komisija odločala tudi na osnovi 1 klub</w:t>
            </w:r>
            <w:r w:rsidR="00750B93" w:rsidRPr="00407FA0">
              <w:rPr>
                <w:rFonts w:ascii="Calibri" w:hAnsi="Calibri" w:cs="Tahoma"/>
                <w:sz w:val="22"/>
                <w:szCs w:val="22"/>
              </w:rPr>
              <w:t xml:space="preserve"> -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 xml:space="preserve"> en kandidat.</w:t>
            </w:r>
          </w:p>
          <w:p w14:paraId="4E824EDF" w14:textId="77777777" w:rsidR="00D80855" w:rsidRPr="00407FA0" w:rsidRDefault="00D80855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9B0310E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3ABA6D9" w14:textId="77777777" w:rsidR="00D80855" w:rsidRPr="00407FA0" w:rsidRDefault="00D80855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0DCBFE6F" w14:textId="77777777" w:rsidR="00D80855" w:rsidRPr="00407FA0" w:rsidRDefault="00D80855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40CB9D06" w14:textId="77777777" w:rsidR="00D80855" w:rsidRPr="00407FA0" w:rsidRDefault="00D80855" w:rsidP="00EA23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3756BE94" w14:textId="65EC998D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Rok in kraj prijave:</w:t>
            </w:r>
          </w:p>
          <w:p w14:paraId="15D9FB1A" w14:textId="77777777" w:rsidR="004B3D0B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Prijavite se s prijavnico, ki je priloga razpisa in jo najdete na spletni strani Nogometne zveze Slovenije </w:t>
            </w:r>
          </w:p>
          <w:p w14:paraId="5682FB19" w14:textId="77777777" w:rsidR="004B3D0B" w:rsidRPr="00407FA0" w:rsidRDefault="004B3D0B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9E7D39B" w14:textId="77777777" w:rsidR="00C7253D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>(</w:t>
            </w:r>
            <w:hyperlink r:id="rId7" w:history="1">
              <w:r w:rsidR="00C7253D" w:rsidRPr="00407FA0">
                <w:rPr>
                  <w:rStyle w:val="Hiperpovezava"/>
                  <w:rFonts w:ascii="Calibri" w:hAnsi="Calibri" w:cs="Tahoma"/>
                  <w:sz w:val="22"/>
                  <w:szCs w:val="22"/>
                </w:rPr>
                <w:t>http://www.nzs.si/nzs/trenerji/solanje-trenerjev</w:t>
              </w:r>
            </w:hyperlink>
            <w:r w:rsidRPr="00407FA0">
              <w:rPr>
                <w:rFonts w:ascii="Calibri" w:hAnsi="Calibri" w:cs="Tahoma"/>
                <w:sz w:val="22"/>
                <w:szCs w:val="22"/>
              </w:rPr>
              <w:t>).</w:t>
            </w:r>
          </w:p>
          <w:p w14:paraId="4DADE63B" w14:textId="7777777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23664844" w14:textId="61E2D8B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>Prijavnico, kopijo zadnje trenerske diplome, fotokopijo spričevala splošne šolske izobrazbe, potrdilo nogometnega kluba o delovanju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zdravniško spričevalo o sposobnosti za sodelovanje na praktičnemu delu </w:t>
            </w:r>
            <w:r w:rsidR="00057204" w:rsidRPr="00407FA0">
              <w:rPr>
                <w:rFonts w:ascii="Calibri" w:hAnsi="Calibri" w:cs="Tahoma"/>
                <w:sz w:val="22"/>
                <w:szCs w:val="22"/>
              </w:rPr>
              <w:t>usposabljanja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>, kopijo vpisa v Razvid</w:t>
            </w:r>
            <w:r w:rsidR="00057204" w:rsidRPr="00407FA0">
              <w:rPr>
                <w:rFonts w:ascii="Calibri" w:hAnsi="Calibri" w:cs="Tahoma"/>
                <w:sz w:val="22"/>
                <w:szCs w:val="22"/>
              </w:rPr>
              <w:t xml:space="preserve"> izobraženih ali usposobljenih športnih delavcev pri MIZŠ (1. stran odločbe)</w:t>
            </w:r>
            <w:r w:rsidR="00D80855" w:rsidRPr="00407FA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 pošljite na naslov: </w:t>
            </w:r>
            <w:r w:rsidRPr="00407FA0">
              <w:rPr>
                <w:rFonts w:ascii="Calibri" w:hAnsi="Calibri" w:cs="Tahoma"/>
                <w:b/>
                <w:i/>
                <w:sz w:val="22"/>
                <w:szCs w:val="22"/>
              </w:rPr>
              <w:t>Nogometna zveza Slovenije, Predoslje 40A, 4000 Kranj</w:t>
            </w:r>
            <w:r w:rsidR="00057204" w:rsidRPr="00407FA0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ali na e-pošto </w:t>
            </w:r>
            <w:hyperlink r:id="rId8" w:history="1">
              <w:r w:rsidR="00057204" w:rsidRPr="00407FA0">
                <w:rPr>
                  <w:rStyle w:val="Hiperpovezava"/>
                  <w:rFonts w:ascii="Calibri" w:hAnsi="Calibri" w:cs="Tahoma"/>
                  <w:b/>
                  <w:i/>
                  <w:sz w:val="22"/>
                  <w:szCs w:val="22"/>
                </w:rPr>
                <w:t>usposabljanje.trenerjev@nzs.si</w:t>
              </w:r>
            </w:hyperlink>
            <w:r w:rsidR="00057204" w:rsidRPr="00407FA0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</w:p>
          <w:p w14:paraId="25EF2296" w14:textId="68C493C7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Rok za prijavo je do 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torka, </w:t>
            </w:r>
            <w:r w:rsidR="00417A4E" w:rsidRPr="00407FA0">
              <w:rPr>
                <w:rFonts w:ascii="Calibri" w:hAnsi="Calibri" w:cs="Tahoma"/>
                <w:b/>
                <w:sz w:val="22"/>
                <w:szCs w:val="22"/>
              </w:rPr>
              <w:t>3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>0.1</w:t>
            </w:r>
            <w:r w:rsidR="00417A4E" w:rsidRPr="00407FA0">
              <w:rPr>
                <w:rFonts w:ascii="Calibri" w:hAnsi="Calibri" w:cs="Tahoma"/>
                <w:b/>
                <w:sz w:val="22"/>
                <w:szCs w:val="22"/>
              </w:rPr>
              <w:t>0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>.20</w:t>
            </w:r>
            <w:r w:rsidR="00417A4E" w:rsidRPr="00407FA0">
              <w:rPr>
                <w:rFonts w:ascii="Calibri" w:hAnsi="Calibri" w:cs="Tahoma"/>
                <w:b/>
                <w:sz w:val="22"/>
                <w:szCs w:val="22"/>
              </w:rPr>
              <w:t>21</w:t>
            </w:r>
            <w:r w:rsidRPr="00407FA0">
              <w:rPr>
                <w:rFonts w:ascii="Calibri" w:hAnsi="Calibri" w:cs="Tahoma"/>
                <w:sz w:val="22"/>
                <w:szCs w:val="22"/>
              </w:rPr>
              <w:t>. Prijave se sprejemajo do zapolnitve mest, kandidati pa bodo sprejeti na šolanje po vrstnem redu prejetih prijav. Nepopolne prijave bo Komisija</w:t>
            </w:r>
            <w:r w:rsidR="003010EC" w:rsidRPr="00407FA0">
              <w:rPr>
                <w:rFonts w:ascii="Calibri" w:hAnsi="Calibri" w:cs="Tahoma"/>
                <w:sz w:val="22"/>
                <w:szCs w:val="22"/>
              </w:rPr>
              <w:t xml:space="preserve"> za usposabljanje kadrov NZS,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 zavrgla.</w:t>
            </w:r>
            <w:r w:rsidR="00417A4E" w:rsidRPr="00407FA0">
              <w:rPr>
                <w:rFonts w:ascii="Calibri" w:hAnsi="Calibri" w:cs="Tahoma"/>
                <w:sz w:val="22"/>
                <w:szCs w:val="22"/>
              </w:rPr>
              <w:t xml:space="preserve"> Komisija za usposabljanje NZS vas bo do 15.11. obvestila o sprejemu ali zavrnitvi na usposabljanje.</w:t>
            </w:r>
          </w:p>
          <w:p w14:paraId="620E8BB6" w14:textId="77777777" w:rsidR="00FD3D81" w:rsidRPr="00407FA0" w:rsidRDefault="00FD3D81" w:rsidP="00EA2320">
            <w:pPr>
              <w:spacing w:line="264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312C04C" w14:textId="15151F80" w:rsidR="00FD3D81" w:rsidRPr="00407FA0" w:rsidRDefault="00FD3D81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Stroški </w:t>
            </w:r>
            <w:r w:rsidR="00417A4E"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usposabljanja</w:t>
            </w:r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:</w:t>
            </w:r>
          </w:p>
          <w:p w14:paraId="61681520" w14:textId="7030CE9A" w:rsidR="00FD3D81" w:rsidRPr="00407FA0" w:rsidRDefault="00FD3D81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Stroški </w:t>
            </w:r>
            <w:r w:rsidR="00417A4E" w:rsidRPr="00407FA0">
              <w:rPr>
                <w:rFonts w:ascii="Calibri" w:hAnsi="Calibri" w:cs="Tahoma"/>
                <w:sz w:val="22"/>
                <w:szCs w:val="22"/>
              </w:rPr>
              <w:t>usposabljanja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 so </w:t>
            </w:r>
            <w:r w:rsidR="00E26D66" w:rsidRPr="00407FA0">
              <w:rPr>
                <w:rFonts w:ascii="Calibri" w:hAnsi="Calibri" w:cs="Tahoma"/>
                <w:b/>
                <w:sz w:val="22"/>
                <w:szCs w:val="22"/>
              </w:rPr>
              <w:t>1</w:t>
            </w:r>
            <w:r w:rsidR="00417A4E" w:rsidRPr="00407FA0">
              <w:rPr>
                <w:rFonts w:ascii="Calibri" w:hAnsi="Calibri" w:cs="Tahoma"/>
                <w:b/>
                <w:sz w:val="22"/>
                <w:szCs w:val="22"/>
              </w:rPr>
              <w:t>5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>00,00 €</w:t>
            </w:r>
            <w:r w:rsidR="00E26D66" w:rsidRPr="00407FA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(DDV je vključen v ceno) in jih poravnate po prejetem računu. </w:t>
            </w:r>
            <w:r w:rsidR="00417A4E" w:rsidRPr="00407FA0">
              <w:rPr>
                <w:rFonts w:ascii="Calibri" w:hAnsi="Calibri" w:cs="Tahoma"/>
                <w:sz w:val="22"/>
                <w:szCs w:val="22"/>
              </w:rPr>
              <w:t xml:space="preserve">Stroški usposabljanja so plačljivi v treh obrokih, </w:t>
            </w:r>
            <w:r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rok za plačilo </w:t>
            </w:r>
            <w:r w:rsidRPr="00407FA0">
              <w:rPr>
                <w:rFonts w:ascii="Calibri" w:hAnsi="Calibri" w:cs="Tahoma"/>
                <w:sz w:val="22"/>
                <w:szCs w:val="22"/>
              </w:rPr>
              <w:t>bo naveden na računu. Stroški morebitnega bivanja in prehrane niso vključeni v stroške šolanja in jih nosijo udeleženci sami.</w:t>
            </w:r>
          </w:p>
          <w:p w14:paraId="70FF4D94" w14:textId="77777777" w:rsidR="00FD3D81" w:rsidRPr="00407FA0" w:rsidRDefault="00FD3D81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0D50289F" w14:textId="5BD3AC0C" w:rsidR="00FD3D81" w:rsidRPr="00407FA0" w:rsidRDefault="00417A4E" w:rsidP="00EA2320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Konpetence</w:t>
            </w:r>
            <w:proofErr w:type="spellEnd"/>
            <w:r w:rsidRPr="00407FA0">
              <w:rPr>
                <w:rFonts w:ascii="Calibri" w:hAnsi="Calibri" w:cs="Tahoma"/>
                <w:b/>
                <w:sz w:val="22"/>
                <w:szCs w:val="22"/>
                <w:u w:val="single"/>
              </w:rPr>
              <w:t>, ki jih pridobijo slušatelji so s področja:</w:t>
            </w:r>
          </w:p>
          <w:p w14:paraId="573306FF" w14:textId="6752198A" w:rsidR="00FD3D81" w:rsidRPr="00407FA0" w:rsidRDefault="00750B93" w:rsidP="00FD3D81">
            <w:pPr>
              <w:pStyle w:val="Odstavekseznama"/>
              <w:numPr>
                <w:ilvl w:val="0"/>
                <w:numId w:val="4"/>
              </w:numPr>
              <w:tabs>
                <w:tab w:val="left" w:pos="1276"/>
              </w:tabs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7FA0">
              <w:rPr>
                <w:rFonts w:ascii="Calibri" w:hAnsi="Calibri"/>
                <w:sz w:val="22"/>
                <w:szCs w:val="22"/>
              </w:rPr>
              <w:t>Trener</w:t>
            </w:r>
            <w:r w:rsidR="00B12567" w:rsidRPr="00407FA0">
              <w:rPr>
                <w:rFonts w:ascii="Calibri" w:hAnsi="Calibri"/>
                <w:sz w:val="22"/>
                <w:szCs w:val="22"/>
              </w:rPr>
              <w:t>,</w:t>
            </w:r>
          </w:p>
          <w:p w14:paraId="5BA0370E" w14:textId="484BB73D" w:rsidR="00FD3D81" w:rsidRPr="00407FA0" w:rsidRDefault="00B12567" w:rsidP="00FD3D81">
            <w:pPr>
              <w:pStyle w:val="Odstavekseznama"/>
              <w:numPr>
                <w:ilvl w:val="0"/>
                <w:numId w:val="4"/>
              </w:numPr>
              <w:tabs>
                <w:tab w:val="left" w:pos="1276"/>
              </w:tabs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7FA0">
              <w:rPr>
                <w:rFonts w:ascii="Calibri" w:hAnsi="Calibri"/>
                <w:sz w:val="22"/>
                <w:szCs w:val="22"/>
              </w:rPr>
              <w:t>Igral</w:t>
            </w:r>
            <w:r w:rsidR="00750B93" w:rsidRPr="00407FA0">
              <w:rPr>
                <w:rFonts w:ascii="Calibri" w:hAnsi="Calibri"/>
                <w:sz w:val="22"/>
                <w:szCs w:val="22"/>
              </w:rPr>
              <w:t>ec in ekipa</w:t>
            </w:r>
            <w:r w:rsidRPr="00407FA0">
              <w:rPr>
                <w:rFonts w:ascii="Calibri" w:hAnsi="Calibri"/>
                <w:sz w:val="22"/>
                <w:szCs w:val="22"/>
              </w:rPr>
              <w:t>,</w:t>
            </w:r>
          </w:p>
          <w:p w14:paraId="2C6D0CCC" w14:textId="6A2DDEEE" w:rsidR="00FD3D81" w:rsidRPr="00407FA0" w:rsidRDefault="00750B93" w:rsidP="00FD3D81">
            <w:pPr>
              <w:pStyle w:val="Odstavekseznama"/>
              <w:numPr>
                <w:ilvl w:val="0"/>
                <w:numId w:val="4"/>
              </w:numPr>
              <w:tabs>
                <w:tab w:val="left" w:pos="1276"/>
              </w:tabs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7FA0">
              <w:rPr>
                <w:rFonts w:ascii="Calibri" w:hAnsi="Calibri"/>
                <w:sz w:val="22"/>
                <w:szCs w:val="22"/>
              </w:rPr>
              <w:t xml:space="preserve">Vadbeno okolje </w:t>
            </w:r>
            <w:r w:rsidR="00B12567" w:rsidRPr="00407FA0">
              <w:rPr>
                <w:rFonts w:ascii="Calibri" w:hAnsi="Calibri"/>
                <w:sz w:val="22"/>
                <w:szCs w:val="22"/>
              </w:rPr>
              <w:t>in</w:t>
            </w:r>
          </w:p>
          <w:p w14:paraId="6E90B97C" w14:textId="5C5F8452" w:rsidR="00FD3D81" w:rsidRPr="00407FA0" w:rsidRDefault="00750B93" w:rsidP="00FD3D81">
            <w:pPr>
              <w:pStyle w:val="Odstavekseznama"/>
              <w:numPr>
                <w:ilvl w:val="0"/>
                <w:numId w:val="4"/>
              </w:numPr>
              <w:tabs>
                <w:tab w:val="left" w:pos="1276"/>
              </w:tabs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07FA0">
              <w:rPr>
                <w:rFonts w:ascii="Calibri" w:hAnsi="Calibri"/>
                <w:sz w:val="22"/>
                <w:szCs w:val="22"/>
              </w:rPr>
              <w:t>Tekma.</w:t>
            </w:r>
          </w:p>
          <w:p w14:paraId="202D8BD2" w14:textId="77777777" w:rsidR="00F077BA" w:rsidRPr="00407FA0" w:rsidRDefault="00F077BA" w:rsidP="00F077BA">
            <w:pPr>
              <w:pStyle w:val="Odstavekseznama"/>
              <w:tabs>
                <w:tab w:val="left" w:pos="1276"/>
              </w:tabs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E59AF0A" w14:textId="77777777" w:rsidR="00F077BA" w:rsidRPr="00407FA0" w:rsidRDefault="00F077BA" w:rsidP="00562FFF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07F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Samostojno del</w:t>
            </w:r>
            <w:r w:rsidR="00562FFF" w:rsidRPr="00407F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</w:t>
            </w:r>
          </w:p>
          <w:p w14:paraId="219CCB81" w14:textId="77777777" w:rsidR="00F077BA" w:rsidRPr="00407FA0" w:rsidRDefault="00F077BA" w:rsidP="00F077B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Seminarske naloge:</w:t>
            </w:r>
          </w:p>
          <w:p w14:paraId="1737E889" w14:textId="77777777" w:rsidR="00F077BA" w:rsidRPr="00407FA0" w:rsidRDefault="00F077BA" w:rsidP="00F077B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Teorija igre – Model igre ekipe, ki jo treniram;</w:t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6E08CFC" w14:textId="77777777" w:rsidR="00F077BA" w:rsidRPr="00407FA0" w:rsidRDefault="00F077BA" w:rsidP="00F077B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Teorija treniranja nogometašev – različne teme;</w:t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0154309" w14:textId="77254567" w:rsidR="0092306A" w:rsidRPr="00407FA0" w:rsidRDefault="00F077BA" w:rsidP="0092306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Pedagoška praksa – snemanje in samo presoja lastnega treninga</w:t>
            </w:r>
          </w:p>
          <w:p w14:paraId="7AB9AB4C" w14:textId="77777777" w:rsidR="00F077BA" w:rsidRPr="00407FA0" w:rsidRDefault="00F077BA" w:rsidP="00F077B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Pedagoška praksa – tedenski ciklus lastne ekipe z analizo zadnje tekme,</w:t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  <w:t xml:space="preserve"> s podrobnim </w:t>
            </w:r>
          </w:p>
          <w:p w14:paraId="3FED8CB4" w14:textId="77777777" w:rsidR="00F077BA" w:rsidRPr="00407FA0" w:rsidRDefault="00F077BA" w:rsidP="00F077BA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opisom treningov, opisom sestanka pred naslednjo tekmo in analiza zadnje tekme;</w:t>
            </w:r>
          </w:p>
          <w:p w14:paraId="173BA63E" w14:textId="77777777" w:rsidR="00F077BA" w:rsidRPr="00407FA0" w:rsidRDefault="00F077BA" w:rsidP="00F077B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Tedenska praksa pri ekipi 3. SNL ali 1. SML/SKL, ali 2. SML/SKL – podroben opis vseh aktivnosti</w:t>
            </w:r>
          </w:p>
          <w:p w14:paraId="66654B9F" w14:textId="77777777" w:rsidR="00F077BA" w:rsidRPr="00407FA0" w:rsidRDefault="00562FFF" w:rsidP="0092306A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v tedenskem ciklusu;</w:t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Pr="00407FA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7130E51" w14:textId="77777777" w:rsidR="00F077BA" w:rsidRPr="00407FA0" w:rsidRDefault="00F077BA" w:rsidP="00F077B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skupinsko delo pod vodstvom mentorja – vodenje trening</w:t>
            </w:r>
            <w:r w:rsidR="00562FFF" w:rsidRPr="00407FA0">
              <w:rPr>
                <w:rFonts w:ascii="Calibri" w:hAnsi="Calibri" w:cs="Calibri"/>
                <w:sz w:val="22"/>
                <w:szCs w:val="22"/>
              </w:rPr>
              <w:t>a, analiza treninga, pogovor</w:t>
            </w:r>
            <w:r w:rsidR="00562FFF" w:rsidRPr="00407FA0">
              <w:rPr>
                <w:rFonts w:ascii="Calibri" w:hAnsi="Calibri" w:cs="Calibri"/>
                <w:sz w:val="22"/>
                <w:szCs w:val="22"/>
              </w:rPr>
              <w:tab/>
            </w:r>
            <w:r w:rsidR="00562FFF" w:rsidRPr="00407FA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119276C" w14:textId="77777777" w:rsidR="00F077BA" w:rsidRPr="00407FA0" w:rsidRDefault="00F077BA" w:rsidP="00562FFF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7FA0">
              <w:rPr>
                <w:rFonts w:ascii="Calibri" w:hAnsi="Calibri" w:cs="Calibri"/>
                <w:sz w:val="22"/>
                <w:szCs w:val="22"/>
              </w:rPr>
              <w:t>(skupina 5 in vsak organizira po eno skupinsko srečanje, pripravi in izvede trening z lastno ekipo)</w:t>
            </w:r>
            <w:r w:rsidR="00562FFF" w:rsidRPr="00407FA0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D0A2697" w14:textId="77777777" w:rsidR="00562FFF" w:rsidRPr="00407FA0" w:rsidRDefault="00562FFF" w:rsidP="00562FFF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7725DA" w14:textId="77777777" w:rsidR="00562FFF" w:rsidRPr="00407FA0" w:rsidRDefault="00562FFF" w:rsidP="00562FFF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F40279" w14:textId="77777777" w:rsidR="00F077BA" w:rsidRPr="00407FA0" w:rsidRDefault="00F077BA" w:rsidP="00F077BA">
            <w:pPr>
              <w:pStyle w:val="Odstavekseznama"/>
              <w:tabs>
                <w:tab w:val="left" w:pos="1276"/>
              </w:tabs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0FB37A" w14:textId="77777777" w:rsidR="00FD3D81" w:rsidRPr="00407FA0" w:rsidRDefault="00FD3D81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37C849DA" w14:textId="77777777" w:rsidR="00B12567" w:rsidRPr="00407FA0" w:rsidRDefault="00B12567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5CE653AA" w14:textId="77777777" w:rsidR="00B12567" w:rsidRPr="00407FA0" w:rsidRDefault="00B12567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14CD2B3C" w14:textId="77777777" w:rsidR="00B12567" w:rsidRPr="00407FA0" w:rsidRDefault="00B12567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0F6A4434" w14:textId="77777777" w:rsidR="00B12567" w:rsidRPr="00407FA0" w:rsidRDefault="00B12567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0B6508CB" w14:textId="135B2A5B" w:rsidR="00FD3D81" w:rsidRPr="00407FA0" w:rsidRDefault="00FD3D81" w:rsidP="00EA232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07FA0">
              <w:rPr>
                <w:rFonts w:ascii="Calibri" w:hAnsi="Calibri" w:cs="Tahoma"/>
                <w:sz w:val="22"/>
                <w:szCs w:val="22"/>
              </w:rPr>
              <w:t xml:space="preserve">Organizator </w:t>
            </w:r>
            <w:r w:rsidR="00B12567" w:rsidRPr="00407FA0">
              <w:rPr>
                <w:rFonts w:ascii="Calibri" w:hAnsi="Calibri" w:cs="Tahoma"/>
                <w:sz w:val="22"/>
                <w:szCs w:val="22"/>
              </w:rPr>
              <w:t>usposabljanja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 je Nogometna zveza Slovenije. Za dodatne informacije vam je na razpolago strokovna služba NZ</w:t>
            </w:r>
            <w:r w:rsidR="00777E17" w:rsidRPr="00407FA0">
              <w:rPr>
                <w:rFonts w:ascii="Calibri" w:hAnsi="Calibri" w:cs="Tahoma"/>
                <w:sz w:val="22"/>
                <w:szCs w:val="22"/>
              </w:rPr>
              <w:t>S (</w:t>
            </w:r>
            <w:r w:rsidR="00B12567" w:rsidRPr="00407FA0">
              <w:rPr>
                <w:rFonts w:ascii="Calibri" w:hAnsi="Calibri" w:cs="Tahoma"/>
                <w:sz w:val="22"/>
                <w:szCs w:val="22"/>
              </w:rPr>
              <w:t>Iztok Kavčič</w:t>
            </w:r>
            <w:r w:rsidR="00777E17" w:rsidRPr="00407FA0">
              <w:rPr>
                <w:rFonts w:ascii="Calibri" w:hAnsi="Calibri" w:cs="Tahoma"/>
                <w:sz w:val="22"/>
                <w:szCs w:val="22"/>
              </w:rPr>
              <w:t>, T: 04 27 59 44</w:t>
            </w:r>
            <w:r w:rsidR="00B12567" w:rsidRPr="00407FA0">
              <w:rPr>
                <w:rFonts w:ascii="Calibri" w:hAnsi="Calibri" w:cs="Tahoma"/>
                <w:sz w:val="22"/>
                <w:szCs w:val="22"/>
              </w:rPr>
              <w:t>6</w:t>
            </w:r>
            <w:r w:rsidRPr="00407FA0">
              <w:rPr>
                <w:rFonts w:ascii="Calibri" w:hAnsi="Calibri" w:cs="Tahoma"/>
                <w:sz w:val="22"/>
                <w:szCs w:val="22"/>
              </w:rPr>
              <w:t xml:space="preserve">, E: </w:t>
            </w:r>
            <w:hyperlink r:id="rId9" w:history="1">
              <w:r w:rsidR="00B12567" w:rsidRPr="00407FA0">
                <w:rPr>
                  <w:rStyle w:val="Hiperpovezava"/>
                  <w:rFonts w:ascii="Calibri" w:hAnsi="Calibri" w:cs="Tahoma"/>
                  <w:sz w:val="22"/>
                  <w:szCs w:val="22"/>
                </w:rPr>
                <w:t>usposabljanje.trenerjev@nzs.si</w:t>
              </w:r>
            </w:hyperlink>
            <w:r w:rsidRPr="00407FA0">
              <w:rPr>
                <w:rFonts w:ascii="Calibri" w:hAnsi="Calibri" w:cs="Tahoma"/>
                <w:sz w:val="22"/>
                <w:szCs w:val="22"/>
              </w:rPr>
              <w:t>).</w:t>
            </w:r>
          </w:p>
          <w:p w14:paraId="3E0F1370" w14:textId="77777777" w:rsidR="00FD3D81" w:rsidRPr="00407FA0" w:rsidRDefault="00FD3D81" w:rsidP="00EA232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369724C" w14:textId="77777777" w:rsidR="00FD3D81" w:rsidRPr="00407FA0" w:rsidRDefault="00FD3D81" w:rsidP="00EA232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F52B9CE" w14:textId="77777777" w:rsidR="00FD3D81" w:rsidRPr="00407FA0" w:rsidRDefault="00FD3D81" w:rsidP="00711D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</w:rPr>
              <w:t>Nogometna zveza Slovenije</w:t>
            </w:r>
          </w:p>
          <w:p w14:paraId="03AEF8C5" w14:textId="77777777" w:rsidR="00FD3D81" w:rsidRPr="00407FA0" w:rsidRDefault="00FD3D81" w:rsidP="00EA232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A8A4461" w14:textId="5AB43D77" w:rsidR="00FD3D81" w:rsidRPr="00407FA0" w:rsidRDefault="00FD3D81" w:rsidP="00EA232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FA0">
              <w:rPr>
                <w:rFonts w:ascii="Calibri" w:hAnsi="Calibri" w:cs="Tahoma"/>
                <w:b/>
                <w:sz w:val="22"/>
                <w:szCs w:val="22"/>
              </w:rPr>
              <w:t>Matjaž Jaklič</w:t>
            </w:r>
            <w:r w:rsidR="00562FFF"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  </w:t>
            </w:r>
            <w:proofErr w:type="spellStart"/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>l.r</w:t>
            </w:r>
            <w:proofErr w:type="spellEnd"/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</w:r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ab/>
              <w:t xml:space="preserve">      </w:t>
            </w:r>
            <w:r w:rsidR="00C65832" w:rsidRPr="00407FA0">
              <w:rPr>
                <w:rFonts w:ascii="Calibri" w:hAnsi="Calibri" w:cs="Tahoma"/>
                <w:b/>
                <w:sz w:val="22"/>
                <w:szCs w:val="22"/>
              </w:rPr>
              <w:t>Igor Bole</w:t>
            </w:r>
            <w:r w:rsidR="00562FFF" w:rsidRPr="00407FA0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>l.r</w:t>
            </w:r>
            <w:proofErr w:type="spellEnd"/>
            <w:r w:rsidR="00777E17" w:rsidRPr="00407FA0">
              <w:rPr>
                <w:rFonts w:ascii="Calibri" w:hAnsi="Calibri" w:cs="Tahoma"/>
                <w:b/>
                <w:sz w:val="22"/>
                <w:szCs w:val="22"/>
              </w:rPr>
              <w:t>.</w:t>
            </w:r>
          </w:p>
          <w:p w14:paraId="556E1A86" w14:textId="202E6D37" w:rsidR="00FD3D81" w:rsidRPr="000F1E3F" w:rsidRDefault="00FD3D81" w:rsidP="00EA2320">
            <w:pPr>
              <w:rPr>
                <w:rFonts w:ascii="Calibri" w:hAnsi="Calibri" w:cs="Tahoma"/>
              </w:rPr>
            </w:pPr>
            <w:r w:rsidRPr="00407FA0">
              <w:rPr>
                <w:rFonts w:ascii="Calibri" w:hAnsi="Calibri" w:cs="Tahoma"/>
              </w:rPr>
              <w:t>Vodja tehničnega sektorja NZS</w:t>
            </w:r>
            <w:r w:rsidRPr="00407FA0">
              <w:rPr>
                <w:rFonts w:ascii="Calibri" w:hAnsi="Calibri" w:cs="Tahoma"/>
              </w:rPr>
              <w:tab/>
            </w:r>
            <w:r w:rsidRPr="00407FA0">
              <w:rPr>
                <w:rFonts w:ascii="Calibri" w:hAnsi="Calibri" w:cs="Tahoma"/>
              </w:rPr>
              <w:tab/>
            </w:r>
            <w:r w:rsidRPr="00407FA0">
              <w:rPr>
                <w:rFonts w:ascii="Calibri" w:hAnsi="Calibri" w:cs="Tahoma"/>
              </w:rPr>
              <w:tab/>
            </w:r>
            <w:r w:rsidRPr="00407FA0">
              <w:rPr>
                <w:rFonts w:ascii="Calibri" w:hAnsi="Calibri" w:cs="Tahoma"/>
              </w:rPr>
              <w:tab/>
            </w:r>
            <w:r w:rsidRPr="00407FA0">
              <w:rPr>
                <w:rFonts w:ascii="Calibri" w:hAnsi="Calibri" w:cs="Tahoma"/>
              </w:rPr>
              <w:tab/>
              <w:t xml:space="preserve">                      </w:t>
            </w:r>
            <w:r w:rsidR="00C65832" w:rsidRPr="00407FA0">
              <w:rPr>
                <w:rFonts w:ascii="Calibri" w:hAnsi="Calibri" w:cs="Tahoma"/>
              </w:rPr>
              <w:t>Predsednik komisije</w:t>
            </w:r>
          </w:p>
          <w:p w14:paraId="7BFC65FC" w14:textId="77777777" w:rsidR="00FD3D81" w:rsidRPr="000F1E3F" w:rsidRDefault="00FD3D81" w:rsidP="00EA2320">
            <w:pPr>
              <w:spacing w:line="264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</w:tbl>
    <w:p w14:paraId="5ECBF1CC" w14:textId="77777777" w:rsidR="00A30A54" w:rsidRDefault="00A30A54" w:rsidP="003010EC"/>
    <w:sectPr w:rsidR="00A30A54" w:rsidSect="00F139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D5E2" w14:textId="77777777" w:rsidR="003A2243" w:rsidRDefault="003A2243" w:rsidP="0073465A">
      <w:r>
        <w:separator/>
      </w:r>
    </w:p>
  </w:endnote>
  <w:endnote w:type="continuationSeparator" w:id="0">
    <w:p w14:paraId="4FBC0292" w14:textId="77777777" w:rsidR="003A2243" w:rsidRDefault="003A2243" w:rsidP="007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715A" w14:textId="77777777" w:rsidR="00A30A54" w:rsidRDefault="003A2243">
    <w:pPr>
      <w:pStyle w:val="Noga"/>
    </w:pPr>
    <w:r>
      <w:rPr>
        <w:noProof/>
      </w:rPr>
      <w:pict w14:anchorId="15E56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s2050" type="#_x0000_t75" alt="dopisni_list_ic_noga" style="position:absolute;margin-left:-73.65pt;margin-top:-2.65pt;width:600.25pt;height:49.35pt;z-index:-1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2460" w14:textId="77777777" w:rsidR="00A30A54" w:rsidRDefault="003A2243">
    <w:pPr>
      <w:pStyle w:val="Noga"/>
    </w:pPr>
    <w:r>
      <w:rPr>
        <w:noProof/>
      </w:rPr>
      <w:pict w14:anchorId="1226E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2" type="#_x0000_t75" alt="dopisni_list_ic_noga" style="position:absolute;margin-left:-73.35pt;margin-top:-4.3pt;width:600.25pt;height:49.35pt;z-index:-3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C736" w14:textId="77777777" w:rsidR="003A2243" w:rsidRDefault="003A2243" w:rsidP="0073465A">
      <w:r>
        <w:separator/>
      </w:r>
    </w:p>
  </w:footnote>
  <w:footnote w:type="continuationSeparator" w:id="0">
    <w:p w14:paraId="5D14623D" w14:textId="77777777" w:rsidR="003A2243" w:rsidRDefault="003A2243" w:rsidP="007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45DD" w14:textId="77777777" w:rsidR="00A30A54" w:rsidRDefault="003A2243">
    <w:pPr>
      <w:pStyle w:val="Glava"/>
    </w:pPr>
    <w:r>
      <w:rPr>
        <w:noProof/>
      </w:rPr>
      <w:pict w14:anchorId="54031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49" type="#_x0000_t75" alt="cid:e7d8f725-5a08-4125-83da-37b3c5bd84eb@Nubes.pri" style="position:absolute;margin-left:-72.15pt;margin-top:-35.6pt;width:600.25pt;height:137.15pt;z-index:-2;visibility:visible">
          <v:imagedata r:id="rId1" o:title="" cropbottom="54893f" cropleft="-390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73CA" w14:textId="77777777" w:rsidR="00A30A54" w:rsidRDefault="003A2243">
    <w:pPr>
      <w:pStyle w:val="Glava"/>
    </w:pPr>
    <w:r>
      <w:rPr>
        <w:noProof/>
      </w:rPr>
      <w:pict w14:anchorId="1D5CF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1" type="#_x0000_t75" alt="cid:e7d8f725-5a08-4125-83da-37b3c5bd84eb@Nubes.pri" style="position:absolute;margin-left:-71.4pt;margin-top:-36.35pt;width:600.25pt;height:137.15pt;z-index:-4;visibility:visible">
          <v:imagedata r:id="rId1" o:title="" cropbottom="54893f" cropleft="-39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C5F"/>
    <w:multiLevelType w:val="hybridMultilevel"/>
    <w:tmpl w:val="C0F40C88"/>
    <w:lvl w:ilvl="0" w:tplc="2CCE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43001"/>
    <w:multiLevelType w:val="hybridMultilevel"/>
    <w:tmpl w:val="6DBC45E2"/>
    <w:lvl w:ilvl="0" w:tplc="C562D8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5210"/>
    <w:multiLevelType w:val="hybridMultilevel"/>
    <w:tmpl w:val="1374A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284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14C9"/>
    <w:multiLevelType w:val="hybridMultilevel"/>
    <w:tmpl w:val="F6C44D32"/>
    <w:lvl w:ilvl="0" w:tplc="C9B6D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4E7A6E8F"/>
    <w:multiLevelType w:val="hybridMultilevel"/>
    <w:tmpl w:val="D146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E"/>
    <w:rsid w:val="000052B4"/>
    <w:rsid w:val="0002538D"/>
    <w:rsid w:val="00035453"/>
    <w:rsid w:val="00057204"/>
    <w:rsid w:val="00061896"/>
    <w:rsid w:val="00064A4F"/>
    <w:rsid w:val="00067C5F"/>
    <w:rsid w:val="00073B1B"/>
    <w:rsid w:val="0009043A"/>
    <w:rsid w:val="00091892"/>
    <w:rsid w:val="000961F4"/>
    <w:rsid w:val="000A3116"/>
    <w:rsid w:val="000F55DC"/>
    <w:rsid w:val="000F75AF"/>
    <w:rsid w:val="00106A5C"/>
    <w:rsid w:val="00115A54"/>
    <w:rsid w:val="0016331D"/>
    <w:rsid w:val="00173478"/>
    <w:rsid w:val="0017618A"/>
    <w:rsid w:val="001778C8"/>
    <w:rsid w:val="001A46CF"/>
    <w:rsid w:val="001D776A"/>
    <w:rsid w:val="001E5138"/>
    <w:rsid w:val="00207B06"/>
    <w:rsid w:val="002102C8"/>
    <w:rsid w:val="00220864"/>
    <w:rsid w:val="00220F38"/>
    <w:rsid w:val="0023594B"/>
    <w:rsid w:val="00251E36"/>
    <w:rsid w:val="0025214B"/>
    <w:rsid w:val="00266622"/>
    <w:rsid w:val="002A0CF3"/>
    <w:rsid w:val="002A58B0"/>
    <w:rsid w:val="002B2D32"/>
    <w:rsid w:val="002B3149"/>
    <w:rsid w:val="002B41FA"/>
    <w:rsid w:val="002D0B0A"/>
    <w:rsid w:val="002D1B80"/>
    <w:rsid w:val="002E1B1B"/>
    <w:rsid w:val="002E1EE0"/>
    <w:rsid w:val="003010EC"/>
    <w:rsid w:val="00301D1F"/>
    <w:rsid w:val="003077D7"/>
    <w:rsid w:val="00315608"/>
    <w:rsid w:val="003174B0"/>
    <w:rsid w:val="00324FFF"/>
    <w:rsid w:val="00333E86"/>
    <w:rsid w:val="003449C6"/>
    <w:rsid w:val="00344E44"/>
    <w:rsid w:val="00356025"/>
    <w:rsid w:val="00357DB8"/>
    <w:rsid w:val="00367348"/>
    <w:rsid w:val="0037098D"/>
    <w:rsid w:val="00387314"/>
    <w:rsid w:val="00391AC5"/>
    <w:rsid w:val="003A2243"/>
    <w:rsid w:val="003C7ECD"/>
    <w:rsid w:val="003E19A6"/>
    <w:rsid w:val="003E341F"/>
    <w:rsid w:val="00407FA0"/>
    <w:rsid w:val="00417A4E"/>
    <w:rsid w:val="00423F97"/>
    <w:rsid w:val="00431524"/>
    <w:rsid w:val="00445EBF"/>
    <w:rsid w:val="004570AA"/>
    <w:rsid w:val="004A1782"/>
    <w:rsid w:val="004B3B68"/>
    <w:rsid w:val="004B3D0B"/>
    <w:rsid w:val="004D3290"/>
    <w:rsid w:val="004D6E87"/>
    <w:rsid w:val="004E4348"/>
    <w:rsid w:val="004E6912"/>
    <w:rsid w:val="00500B32"/>
    <w:rsid w:val="00506185"/>
    <w:rsid w:val="00514E97"/>
    <w:rsid w:val="00517E03"/>
    <w:rsid w:val="00524A05"/>
    <w:rsid w:val="00536528"/>
    <w:rsid w:val="00543ED9"/>
    <w:rsid w:val="00547174"/>
    <w:rsid w:val="00562552"/>
    <w:rsid w:val="00562FFF"/>
    <w:rsid w:val="005746F5"/>
    <w:rsid w:val="005B3EAF"/>
    <w:rsid w:val="005C47AE"/>
    <w:rsid w:val="005C69B4"/>
    <w:rsid w:val="005D1F36"/>
    <w:rsid w:val="005D411C"/>
    <w:rsid w:val="005F6BB5"/>
    <w:rsid w:val="00620D75"/>
    <w:rsid w:val="006229CD"/>
    <w:rsid w:val="006230F2"/>
    <w:rsid w:val="0064232D"/>
    <w:rsid w:val="00647B33"/>
    <w:rsid w:val="0065343A"/>
    <w:rsid w:val="00665FE3"/>
    <w:rsid w:val="00666376"/>
    <w:rsid w:val="006710DB"/>
    <w:rsid w:val="006A1786"/>
    <w:rsid w:val="006A5C80"/>
    <w:rsid w:val="006F7307"/>
    <w:rsid w:val="007053A3"/>
    <w:rsid w:val="00707747"/>
    <w:rsid w:val="00711D08"/>
    <w:rsid w:val="00726970"/>
    <w:rsid w:val="00733E43"/>
    <w:rsid w:val="0073465A"/>
    <w:rsid w:val="00750B93"/>
    <w:rsid w:val="00777D35"/>
    <w:rsid w:val="00777E17"/>
    <w:rsid w:val="007B1C9D"/>
    <w:rsid w:val="007C2149"/>
    <w:rsid w:val="007C472A"/>
    <w:rsid w:val="007C621F"/>
    <w:rsid w:val="007D3DCA"/>
    <w:rsid w:val="007E622B"/>
    <w:rsid w:val="008031B4"/>
    <w:rsid w:val="0083157C"/>
    <w:rsid w:val="00834348"/>
    <w:rsid w:val="0084009B"/>
    <w:rsid w:val="00840725"/>
    <w:rsid w:val="00841164"/>
    <w:rsid w:val="00842B61"/>
    <w:rsid w:val="00845C94"/>
    <w:rsid w:val="008511F5"/>
    <w:rsid w:val="008512EA"/>
    <w:rsid w:val="00852414"/>
    <w:rsid w:val="008702EC"/>
    <w:rsid w:val="00877E63"/>
    <w:rsid w:val="0088026E"/>
    <w:rsid w:val="00890C29"/>
    <w:rsid w:val="00892752"/>
    <w:rsid w:val="008B1B67"/>
    <w:rsid w:val="008B3CA5"/>
    <w:rsid w:val="008B7299"/>
    <w:rsid w:val="008C1DA1"/>
    <w:rsid w:val="008E1CD9"/>
    <w:rsid w:val="008F5E48"/>
    <w:rsid w:val="0090455A"/>
    <w:rsid w:val="00920D15"/>
    <w:rsid w:val="0092306A"/>
    <w:rsid w:val="009365CA"/>
    <w:rsid w:val="00942955"/>
    <w:rsid w:val="00944F41"/>
    <w:rsid w:val="009458ED"/>
    <w:rsid w:val="00953508"/>
    <w:rsid w:val="009563E8"/>
    <w:rsid w:val="009625EC"/>
    <w:rsid w:val="00972EA9"/>
    <w:rsid w:val="00981943"/>
    <w:rsid w:val="00994235"/>
    <w:rsid w:val="00994ABA"/>
    <w:rsid w:val="00994FA9"/>
    <w:rsid w:val="009A6BB0"/>
    <w:rsid w:val="009C37C4"/>
    <w:rsid w:val="009D1C1B"/>
    <w:rsid w:val="009D5C38"/>
    <w:rsid w:val="009D7585"/>
    <w:rsid w:val="009E3D77"/>
    <w:rsid w:val="009E7286"/>
    <w:rsid w:val="009F52F1"/>
    <w:rsid w:val="00A30A54"/>
    <w:rsid w:val="00A426BF"/>
    <w:rsid w:val="00A4767B"/>
    <w:rsid w:val="00A50141"/>
    <w:rsid w:val="00A57DB2"/>
    <w:rsid w:val="00A61891"/>
    <w:rsid w:val="00A67514"/>
    <w:rsid w:val="00A944B9"/>
    <w:rsid w:val="00A95530"/>
    <w:rsid w:val="00AB57D7"/>
    <w:rsid w:val="00AC0A57"/>
    <w:rsid w:val="00AC323C"/>
    <w:rsid w:val="00B12567"/>
    <w:rsid w:val="00B14120"/>
    <w:rsid w:val="00B20C56"/>
    <w:rsid w:val="00B25921"/>
    <w:rsid w:val="00B343BB"/>
    <w:rsid w:val="00B37602"/>
    <w:rsid w:val="00B5609B"/>
    <w:rsid w:val="00B56236"/>
    <w:rsid w:val="00B660A6"/>
    <w:rsid w:val="00B669F8"/>
    <w:rsid w:val="00B72450"/>
    <w:rsid w:val="00B768BC"/>
    <w:rsid w:val="00B9424F"/>
    <w:rsid w:val="00BA4603"/>
    <w:rsid w:val="00BB1355"/>
    <w:rsid w:val="00BB6C59"/>
    <w:rsid w:val="00BC6716"/>
    <w:rsid w:val="00BE1E33"/>
    <w:rsid w:val="00C02579"/>
    <w:rsid w:val="00C03A13"/>
    <w:rsid w:val="00C078B3"/>
    <w:rsid w:val="00C2350E"/>
    <w:rsid w:val="00C27738"/>
    <w:rsid w:val="00C3537E"/>
    <w:rsid w:val="00C401A1"/>
    <w:rsid w:val="00C404E9"/>
    <w:rsid w:val="00C5244E"/>
    <w:rsid w:val="00C55674"/>
    <w:rsid w:val="00C61250"/>
    <w:rsid w:val="00C65832"/>
    <w:rsid w:val="00C7253D"/>
    <w:rsid w:val="00CA0A69"/>
    <w:rsid w:val="00CA5F62"/>
    <w:rsid w:val="00CA6941"/>
    <w:rsid w:val="00CC4C8E"/>
    <w:rsid w:val="00CC5555"/>
    <w:rsid w:val="00CD2D4E"/>
    <w:rsid w:val="00D2223A"/>
    <w:rsid w:val="00D37991"/>
    <w:rsid w:val="00D54EE7"/>
    <w:rsid w:val="00D670EE"/>
    <w:rsid w:val="00D80855"/>
    <w:rsid w:val="00D85099"/>
    <w:rsid w:val="00DA53A8"/>
    <w:rsid w:val="00DD63EA"/>
    <w:rsid w:val="00DD7850"/>
    <w:rsid w:val="00DE06DB"/>
    <w:rsid w:val="00DF00D5"/>
    <w:rsid w:val="00DF7890"/>
    <w:rsid w:val="00E04FEE"/>
    <w:rsid w:val="00E12EA2"/>
    <w:rsid w:val="00E17A59"/>
    <w:rsid w:val="00E260A4"/>
    <w:rsid w:val="00E26D66"/>
    <w:rsid w:val="00E27B3C"/>
    <w:rsid w:val="00E35FF2"/>
    <w:rsid w:val="00E63B56"/>
    <w:rsid w:val="00E666FA"/>
    <w:rsid w:val="00E7622D"/>
    <w:rsid w:val="00E827C3"/>
    <w:rsid w:val="00EA5621"/>
    <w:rsid w:val="00EE0EA3"/>
    <w:rsid w:val="00F054E5"/>
    <w:rsid w:val="00F077BA"/>
    <w:rsid w:val="00F12D74"/>
    <w:rsid w:val="00F139AE"/>
    <w:rsid w:val="00F27448"/>
    <w:rsid w:val="00F5142E"/>
    <w:rsid w:val="00F65F71"/>
    <w:rsid w:val="00FD3D08"/>
    <w:rsid w:val="00FD3D8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423F0AF3"/>
  <w15:docId w15:val="{695751D1-487F-4DF6-8FA8-697E3123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0EE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670EE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D670EE"/>
    <w:rPr>
      <w:rFonts w:ascii="Tahoma" w:hAnsi="Tahoma" w:cs="Times New Roman"/>
      <w:sz w:val="16"/>
    </w:rPr>
  </w:style>
  <w:style w:type="character" w:styleId="Hiperpovezava">
    <w:name w:val="Hyperlink"/>
    <w:uiPriority w:val="99"/>
    <w:rsid w:val="00D670EE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GlavaZnak">
    <w:name w:val="Glava Znak"/>
    <w:link w:val="Glava"/>
    <w:uiPriority w:val="99"/>
    <w:locked/>
    <w:rsid w:val="0073465A"/>
    <w:rPr>
      <w:rFonts w:ascii="Times New Roman" w:hAnsi="Times New Roman" w:cs="Times New Roman"/>
      <w:sz w:val="20"/>
    </w:rPr>
  </w:style>
  <w:style w:type="paragraph" w:styleId="Noga">
    <w:name w:val="footer"/>
    <w:basedOn w:val="Navaden"/>
    <w:link w:val="NogaZnak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NogaZnak">
    <w:name w:val="Noga Znak"/>
    <w:link w:val="Noga"/>
    <w:uiPriority w:val="99"/>
    <w:locked/>
    <w:rsid w:val="0073465A"/>
    <w:rPr>
      <w:rFonts w:ascii="Times New Roman" w:hAnsi="Times New Roman" w:cs="Times New Roman"/>
      <w:sz w:val="20"/>
    </w:rPr>
  </w:style>
  <w:style w:type="paragraph" w:styleId="Telobesedila">
    <w:name w:val="Body Text"/>
    <w:basedOn w:val="Navaden"/>
    <w:link w:val="TelobesedilaZnak"/>
    <w:uiPriority w:val="99"/>
    <w:rsid w:val="00220864"/>
    <w:pPr>
      <w:tabs>
        <w:tab w:val="left" w:pos="1843"/>
      </w:tabs>
    </w:pPr>
    <w:rPr>
      <w:rFonts w:ascii="Arial" w:eastAsia="Calibri" w:hAnsi="Arial"/>
      <w:sz w:val="16"/>
    </w:rPr>
  </w:style>
  <w:style w:type="character" w:customStyle="1" w:styleId="BodyTextChar">
    <w:name w:val="Body Text Char"/>
    <w:uiPriority w:val="99"/>
    <w:semiHidden/>
    <w:locked/>
    <w:rsid w:val="0009043A"/>
    <w:rPr>
      <w:rFonts w:ascii="Times New Roman" w:hAnsi="Times New Roman" w:cs="Times New Roman"/>
      <w:sz w:val="20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220864"/>
    <w:rPr>
      <w:rFonts w:ascii="Arial" w:hAnsi="Arial"/>
      <w:sz w:val="16"/>
      <w:lang w:val="sl-SI" w:eastAsia="en-US"/>
    </w:rPr>
  </w:style>
  <w:style w:type="paragraph" w:styleId="Naslovpoiljatelja">
    <w:name w:val="envelope return"/>
    <w:basedOn w:val="Navaden"/>
    <w:uiPriority w:val="99"/>
    <w:rsid w:val="00445EBF"/>
    <w:pPr>
      <w:spacing w:after="200" w:line="276" w:lineRule="auto"/>
    </w:pPr>
    <w:rPr>
      <w:rFonts w:ascii="Arial" w:eastAsia="Calibri" w:hAnsi="Arial" w:cs="Arial"/>
    </w:rPr>
  </w:style>
  <w:style w:type="paragraph" w:styleId="Odstavekseznama">
    <w:name w:val="List Paragraph"/>
    <w:basedOn w:val="Navaden"/>
    <w:uiPriority w:val="99"/>
    <w:qFormat/>
    <w:rsid w:val="00FD3D81"/>
    <w:pPr>
      <w:ind w:left="720"/>
      <w:contextualSpacing/>
    </w:pPr>
  </w:style>
  <w:style w:type="character" w:styleId="Nerazreenaomemba">
    <w:name w:val="Unresolved Mention"/>
    <w:uiPriority w:val="99"/>
    <w:semiHidden/>
    <w:unhideWhenUsed/>
    <w:rsid w:val="00057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sabljanje.trenerjev@nz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zs.si/nzs/trenerji/solanje-trenerje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e.elsner@nz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Podviz Čeferin</dc:creator>
  <cp:keywords/>
  <dc:description/>
  <cp:lastModifiedBy>Brane Elsner</cp:lastModifiedBy>
  <cp:revision>29</cp:revision>
  <cp:lastPrinted>2018-10-11T09:33:00Z</cp:lastPrinted>
  <dcterms:created xsi:type="dcterms:W3CDTF">2016-01-27T09:35:00Z</dcterms:created>
  <dcterms:modified xsi:type="dcterms:W3CDTF">2021-09-21T05:48:00Z</dcterms:modified>
</cp:coreProperties>
</file>